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5A" w:rsidRPr="009C3D5A" w:rsidRDefault="009C3D5A" w:rsidP="009C3D5A">
      <w:pPr>
        <w:pStyle w:val="Title"/>
        <w:rPr>
          <w:sz w:val="28"/>
          <w:szCs w:val="28"/>
        </w:rPr>
      </w:pPr>
      <w:r w:rsidRPr="009C3D5A">
        <w:rPr>
          <w:sz w:val="28"/>
          <w:szCs w:val="28"/>
        </w:rPr>
        <w:t xml:space="preserve">Présidence de la République </w:t>
      </w:r>
    </w:p>
    <w:p w:rsidR="009C3D5A" w:rsidRPr="009C3D5A" w:rsidRDefault="009C3D5A" w:rsidP="009C3D5A">
      <w:pPr>
        <w:pStyle w:val="Title"/>
        <w:rPr>
          <w:sz w:val="28"/>
          <w:szCs w:val="28"/>
        </w:rPr>
      </w:pPr>
      <w:r w:rsidRPr="009C3D5A">
        <w:rPr>
          <w:sz w:val="28"/>
          <w:szCs w:val="28"/>
        </w:rPr>
        <w:t>--------</w:t>
      </w:r>
    </w:p>
    <w:p w:rsidR="009C3D5A" w:rsidRPr="009C3D5A" w:rsidRDefault="009C3D5A" w:rsidP="009C3D5A">
      <w:pPr>
        <w:pStyle w:val="Title"/>
        <w:rPr>
          <w:sz w:val="28"/>
          <w:szCs w:val="28"/>
        </w:rPr>
      </w:pPr>
      <w:r w:rsidRPr="009C3D5A">
        <w:rPr>
          <w:sz w:val="28"/>
          <w:szCs w:val="28"/>
        </w:rPr>
        <w:t xml:space="preserve">Ministère Délégué </w:t>
      </w:r>
    </w:p>
    <w:p w:rsidR="009C3D5A" w:rsidRDefault="009C3D5A" w:rsidP="009C3D5A">
      <w:pPr>
        <w:pStyle w:val="Title"/>
        <w:rPr>
          <w:sz w:val="28"/>
          <w:szCs w:val="28"/>
        </w:rPr>
      </w:pPr>
      <w:r w:rsidRPr="009C3D5A">
        <w:rPr>
          <w:sz w:val="28"/>
          <w:szCs w:val="28"/>
        </w:rPr>
        <w:t>chargé de l’Energie et des Mines</w:t>
      </w:r>
    </w:p>
    <w:p w:rsidR="009C3D5A" w:rsidRDefault="009C3D5A" w:rsidP="009C3D5A">
      <w:pPr>
        <w:pStyle w:val="Title"/>
        <w:rPr>
          <w:sz w:val="28"/>
          <w:szCs w:val="28"/>
        </w:rPr>
      </w:pPr>
    </w:p>
    <w:p w:rsidR="009C3D5A" w:rsidRDefault="009C3D5A" w:rsidP="009C3D5A">
      <w:pPr>
        <w:spacing w:line="276" w:lineRule="auto"/>
        <w:jc w:val="center"/>
      </w:pPr>
      <w:r w:rsidRPr="00387D7F">
        <w:rPr>
          <w:szCs w:val="22"/>
        </w:rPr>
        <w:t xml:space="preserve">Appel d’Offres Ouvert </w:t>
      </w:r>
      <w:r>
        <w:rPr>
          <w:szCs w:val="22"/>
        </w:rPr>
        <w:t xml:space="preserve">International </w:t>
      </w:r>
      <w:r w:rsidRPr="00387D7F">
        <w:rPr>
          <w:szCs w:val="22"/>
        </w:rPr>
        <w:t>N</w:t>
      </w:r>
      <w:r>
        <w:rPr>
          <w:szCs w:val="22"/>
        </w:rPr>
        <w:t>°</w:t>
      </w:r>
      <w:r w:rsidRPr="00D61593">
        <w:rPr>
          <w:szCs w:val="22"/>
        </w:rPr>
        <w:t>001/</w:t>
      </w:r>
      <w:r>
        <w:rPr>
          <w:szCs w:val="22"/>
        </w:rPr>
        <w:t>PR/MDEM</w:t>
      </w:r>
      <w:r w:rsidRPr="00387D7F">
        <w:rPr>
          <w:szCs w:val="22"/>
        </w:rPr>
        <w:t>/PRMP/2021</w:t>
      </w:r>
      <w:r w:rsidRPr="009C3D5A">
        <w:t xml:space="preserve"> </w:t>
      </w:r>
    </w:p>
    <w:p w:rsidR="009C3D5A" w:rsidRPr="00387D7F" w:rsidRDefault="009C3D5A" w:rsidP="009C3D5A">
      <w:pPr>
        <w:spacing w:line="276" w:lineRule="auto"/>
        <w:jc w:val="center"/>
        <w:rPr>
          <w:szCs w:val="22"/>
        </w:rPr>
      </w:pPr>
      <w:proofErr w:type="gramStart"/>
      <w:r w:rsidRPr="009C3D5A">
        <w:rPr>
          <w:szCs w:val="22"/>
        </w:rPr>
        <w:t>pour</w:t>
      </w:r>
      <w:proofErr w:type="gramEnd"/>
      <w:r>
        <w:rPr>
          <w:szCs w:val="22"/>
        </w:rPr>
        <w:t xml:space="preserve"> la f</w:t>
      </w:r>
      <w:r w:rsidRPr="009C3D5A">
        <w:rPr>
          <w:szCs w:val="22"/>
        </w:rPr>
        <w:t xml:space="preserve">ourniture et </w:t>
      </w:r>
      <w:r>
        <w:rPr>
          <w:szCs w:val="22"/>
        </w:rPr>
        <w:t xml:space="preserve">la </w:t>
      </w:r>
      <w:r w:rsidRPr="009C3D5A">
        <w:rPr>
          <w:szCs w:val="22"/>
        </w:rPr>
        <w:t>pose de matériels de réseaux électriques MT et BT</w:t>
      </w:r>
    </w:p>
    <w:p w:rsidR="009C3D5A" w:rsidRPr="00E42BB4" w:rsidRDefault="009C3D5A" w:rsidP="009C3D5A">
      <w:pPr>
        <w:jc w:val="center"/>
        <w:rPr>
          <w:sz w:val="22"/>
          <w:szCs w:val="22"/>
        </w:rPr>
      </w:pPr>
    </w:p>
    <w:p w:rsidR="009C3D5A" w:rsidRDefault="009C3D5A" w:rsidP="009C3D5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437"/>
        <w:jc w:val="both"/>
        <w:rPr>
          <w:sz w:val="22"/>
          <w:szCs w:val="22"/>
        </w:rPr>
      </w:pPr>
      <w:r w:rsidRPr="009E3B2F">
        <w:rPr>
          <w:sz w:val="22"/>
          <w:szCs w:val="22"/>
        </w:rPr>
        <w:t xml:space="preserve">Le </w:t>
      </w:r>
      <w:r w:rsidRPr="00387D7F">
        <w:rPr>
          <w:sz w:val="22"/>
          <w:szCs w:val="22"/>
        </w:rPr>
        <w:t xml:space="preserve">Ministère </w:t>
      </w:r>
      <w:r>
        <w:rPr>
          <w:sz w:val="22"/>
          <w:szCs w:val="22"/>
        </w:rPr>
        <w:t>D</w:t>
      </w:r>
      <w:r w:rsidRPr="005F3E49">
        <w:rPr>
          <w:sz w:val="22"/>
          <w:szCs w:val="22"/>
        </w:rPr>
        <w:t>élégué chargé de</w:t>
      </w:r>
      <w:r>
        <w:rPr>
          <w:sz w:val="22"/>
          <w:szCs w:val="22"/>
        </w:rPr>
        <w:t xml:space="preserve"> l’</w:t>
      </w:r>
      <w:r w:rsidRPr="005F3E49">
        <w:rPr>
          <w:sz w:val="22"/>
          <w:szCs w:val="22"/>
        </w:rPr>
        <w:t>Energie et des Mines</w:t>
      </w:r>
      <w:r w:rsidRPr="00387D7F" w:rsidDel="005F3E49">
        <w:rPr>
          <w:sz w:val="22"/>
          <w:szCs w:val="22"/>
        </w:rPr>
        <w:t xml:space="preserve"> </w:t>
      </w:r>
      <w:r w:rsidRPr="009E3B2F">
        <w:rPr>
          <w:sz w:val="22"/>
          <w:szCs w:val="22"/>
        </w:rPr>
        <w:t xml:space="preserve">a obtenu des fonds sur le budget d’investissement </w:t>
      </w:r>
      <w:r>
        <w:rPr>
          <w:sz w:val="22"/>
          <w:szCs w:val="22"/>
        </w:rPr>
        <w:t xml:space="preserve">et d’équipement, </w:t>
      </w:r>
      <w:r w:rsidRPr="00387D7F">
        <w:rPr>
          <w:sz w:val="22"/>
          <w:szCs w:val="22"/>
        </w:rPr>
        <w:t>Gestion 2021, pour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financer la f</w:t>
      </w:r>
      <w:r w:rsidRPr="005F3E49">
        <w:rPr>
          <w:sz w:val="22"/>
          <w:szCs w:val="22"/>
        </w:rPr>
        <w:t>ourniture et</w:t>
      </w:r>
      <w:r>
        <w:rPr>
          <w:sz w:val="22"/>
          <w:szCs w:val="22"/>
        </w:rPr>
        <w:t xml:space="preserve"> la</w:t>
      </w:r>
      <w:r w:rsidRPr="005F3E49">
        <w:rPr>
          <w:sz w:val="22"/>
          <w:szCs w:val="22"/>
        </w:rPr>
        <w:t xml:space="preserve"> pose de matériels de réseaux électrique</w:t>
      </w:r>
      <w:r>
        <w:rPr>
          <w:sz w:val="22"/>
          <w:szCs w:val="22"/>
        </w:rPr>
        <w:t>s</w:t>
      </w:r>
      <w:r w:rsidRPr="005F3E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MT et </w:t>
      </w:r>
      <w:r w:rsidRPr="005F3E49">
        <w:rPr>
          <w:sz w:val="22"/>
          <w:szCs w:val="22"/>
        </w:rPr>
        <w:t>BT</w:t>
      </w:r>
      <w:r w:rsidRPr="00387D7F" w:rsidDel="005F3E49">
        <w:rPr>
          <w:sz w:val="22"/>
          <w:szCs w:val="22"/>
        </w:rPr>
        <w:t xml:space="preserve"> </w:t>
      </w:r>
      <w:r w:rsidRPr="00387D7F">
        <w:rPr>
          <w:sz w:val="22"/>
          <w:szCs w:val="22"/>
        </w:rPr>
        <w:t>dans les régions du Togo</w:t>
      </w:r>
      <w:r w:rsidRPr="0030734F">
        <w:rPr>
          <w:sz w:val="22"/>
          <w:szCs w:val="22"/>
        </w:rPr>
        <w:t>,</w:t>
      </w:r>
      <w:r w:rsidRPr="009E3B2F">
        <w:rPr>
          <w:sz w:val="22"/>
          <w:szCs w:val="22"/>
        </w:rPr>
        <w:t xml:space="preserve"> et a l’intention d’utiliser une partie de ces fonds pour effectuer des paiements au titre du Marché relatif audit projet.</w:t>
      </w:r>
    </w:p>
    <w:p w:rsidR="009C3D5A" w:rsidRPr="009E3B2F" w:rsidRDefault="009C3D5A" w:rsidP="009C3D5A">
      <w:pPr>
        <w:spacing w:line="276" w:lineRule="auto"/>
        <w:ind w:left="-153"/>
        <w:jc w:val="both"/>
        <w:rPr>
          <w:sz w:val="22"/>
          <w:szCs w:val="22"/>
        </w:rPr>
      </w:pPr>
    </w:p>
    <w:p w:rsidR="009C3D5A" w:rsidRDefault="009C3D5A" w:rsidP="009C3D5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426"/>
        <w:jc w:val="both"/>
        <w:rPr>
          <w:i/>
          <w:iCs/>
          <w:sz w:val="22"/>
          <w:szCs w:val="22"/>
        </w:rPr>
      </w:pPr>
      <w:r w:rsidRPr="00387D7F">
        <w:rPr>
          <w:sz w:val="22"/>
          <w:szCs w:val="22"/>
        </w:rPr>
        <w:t xml:space="preserve">Le </w:t>
      </w:r>
      <w:r w:rsidRPr="00703261">
        <w:rPr>
          <w:sz w:val="22"/>
          <w:szCs w:val="22"/>
        </w:rPr>
        <w:t xml:space="preserve">Ministère </w:t>
      </w:r>
      <w:r>
        <w:rPr>
          <w:sz w:val="22"/>
          <w:szCs w:val="22"/>
        </w:rPr>
        <w:t>D</w:t>
      </w:r>
      <w:r w:rsidRPr="005F3E49">
        <w:rPr>
          <w:sz w:val="22"/>
          <w:szCs w:val="22"/>
        </w:rPr>
        <w:t>élégué chargé de</w:t>
      </w:r>
      <w:r>
        <w:rPr>
          <w:sz w:val="22"/>
          <w:szCs w:val="22"/>
        </w:rPr>
        <w:t xml:space="preserve"> l’</w:t>
      </w:r>
      <w:r w:rsidRPr="005F3E49">
        <w:rPr>
          <w:sz w:val="22"/>
          <w:szCs w:val="22"/>
        </w:rPr>
        <w:t>Energie et des Mines</w:t>
      </w:r>
      <w:r w:rsidRPr="00387D7F">
        <w:rPr>
          <w:sz w:val="22"/>
          <w:szCs w:val="22"/>
        </w:rPr>
        <w:t xml:space="preserve"> sollicite des offres fermées de la part de candidats éligibles et répondant aux qualifications requises pour la </w:t>
      </w:r>
      <w:r>
        <w:rPr>
          <w:sz w:val="22"/>
          <w:szCs w:val="22"/>
        </w:rPr>
        <w:t xml:space="preserve">réalisation des prestations ainsi qu’il suit : </w:t>
      </w:r>
    </w:p>
    <w:p w:rsidR="009C3D5A" w:rsidRPr="00387D7F" w:rsidRDefault="009C3D5A" w:rsidP="009C3D5A">
      <w:pPr>
        <w:numPr>
          <w:ilvl w:val="0"/>
          <w:numId w:val="2"/>
        </w:numPr>
        <w:spacing w:line="276" w:lineRule="auto"/>
        <w:ind w:left="1208" w:hanging="357"/>
        <w:jc w:val="both"/>
        <w:rPr>
          <w:sz w:val="22"/>
          <w:szCs w:val="22"/>
        </w:rPr>
      </w:pPr>
      <w:r w:rsidRPr="00387D7F">
        <w:rPr>
          <w:b/>
          <w:sz w:val="22"/>
          <w:szCs w:val="22"/>
        </w:rPr>
        <w:t>Lot N°1</w:t>
      </w:r>
      <w:r w:rsidRPr="00387D7F">
        <w:rPr>
          <w:sz w:val="22"/>
          <w:szCs w:val="22"/>
        </w:rPr>
        <w:t xml:space="preserve"> : </w:t>
      </w:r>
      <w:r w:rsidRPr="009C1B66">
        <w:rPr>
          <w:sz w:val="22"/>
          <w:szCs w:val="22"/>
        </w:rPr>
        <w:t>Fourniture et pose de matériels de réseaux électriques MT et BT dans la Région des Plateaux ;</w:t>
      </w:r>
      <w:r w:rsidRPr="00387D7F">
        <w:rPr>
          <w:sz w:val="22"/>
          <w:szCs w:val="22"/>
        </w:rPr>
        <w:t xml:space="preserve"> </w:t>
      </w:r>
    </w:p>
    <w:p w:rsidR="009C3D5A" w:rsidRPr="009C1B66" w:rsidRDefault="009C3D5A" w:rsidP="009C3D5A">
      <w:pPr>
        <w:numPr>
          <w:ilvl w:val="0"/>
          <w:numId w:val="2"/>
        </w:numPr>
        <w:spacing w:line="276" w:lineRule="auto"/>
        <w:ind w:left="1208" w:hanging="357"/>
        <w:jc w:val="both"/>
        <w:rPr>
          <w:sz w:val="12"/>
          <w:szCs w:val="22"/>
        </w:rPr>
      </w:pPr>
      <w:r w:rsidRPr="00387D7F">
        <w:rPr>
          <w:b/>
          <w:sz w:val="22"/>
          <w:szCs w:val="22"/>
        </w:rPr>
        <w:t>Lot N°2</w:t>
      </w:r>
      <w:r w:rsidRPr="00387D7F">
        <w:rPr>
          <w:sz w:val="22"/>
          <w:szCs w:val="22"/>
        </w:rPr>
        <w:t xml:space="preserve"> : </w:t>
      </w:r>
      <w:r w:rsidRPr="00A376CB">
        <w:rPr>
          <w:sz w:val="22"/>
          <w:szCs w:val="22"/>
        </w:rPr>
        <w:t xml:space="preserve">Fourniture et pose de matériels de réseaux électriques MT et BT dans la Région </w:t>
      </w:r>
      <w:r>
        <w:rPr>
          <w:sz w:val="22"/>
          <w:szCs w:val="22"/>
        </w:rPr>
        <w:t xml:space="preserve">Centrale </w:t>
      </w:r>
      <w:r w:rsidRPr="009C1B66">
        <w:rPr>
          <w:sz w:val="22"/>
          <w:szCs w:val="22"/>
        </w:rPr>
        <w:t>;</w:t>
      </w:r>
    </w:p>
    <w:p w:rsidR="009C3D5A" w:rsidRPr="00387D7F" w:rsidRDefault="009C3D5A" w:rsidP="009C3D5A">
      <w:pPr>
        <w:numPr>
          <w:ilvl w:val="0"/>
          <w:numId w:val="2"/>
        </w:numPr>
        <w:spacing w:line="276" w:lineRule="auto"/>
        <w:ind w:left="1208" w:hanging="357"/>
        <w:jc w:val="both"/>
        <w:rPr>
          <w:b/>
          <w:sz w:val="22"/>
          <w:szCs w:val="22"/>
        </w:rPr>
      </w:pPr>
      <w:r w:rsidRPr="00A376CB">
        <w:rPr>
          <w:b/>
          <w:sz w:val="22"/>
          <w:szCs w:val="22"/>
        </w:rPr>
        <w:t>Lot N°</w:t>
      </w:r>
      <w:r>
        <w:rPr>
          <w:b/>
          <w:sz w:val="22"/>
          <w:szCs w:val="22"/>
        </w:rPr>
        <w:t>3</w:t>
      </w:r>
      <w:r w:rsidRPr="00A376CB">
        <w:rPr>
          <w:sz w:val="22"/>
          <w:szCs w:val="22"/>
        </w:rPr>
        <w:t xml:space="preserve"> : Fourniture et pose de matériels de réseaux électriques MT et BT dans la Région </w:t>
      </w:r>
      <w:r>
        <w:rPr>
          <w:sz w:val="22"/>
          <w:szCs w:val="22"/>
        </w:rPr>
        <w:t xml:space="preserve">de la Kara </w:t>
      </w:r>
      <w:r w:rsidRPr="00A376CB">
        <w:rPr>
          <w:sz w:val="22"/>
          <w:szCs w:val="22"/>
        </w:rPr>
        <w:t>;</w:t>
      </w:r>
    </w:p>
    <w:p w:rsidR="009C3D5A" w:rsidRPr="009C1B66" w:rsidRDefault="009C3D5A" w:rsidP="009C3D5A">
      <w:pPr>
        <w:numPr>
          <w:ilvl w:val="0"/>
          <w:numId w:val="2"/>
        </w:numPr>
        <w:spacing w:line="276" w:lineRule="auto"/>
        <w:ind w:left="1208" w:hanging="357"/>
        <w:jc w:val="both"/>
        <w:rPr>
          <w:b/>
          <w:sz w:val="22"/>
          <w:szCs w:val="22"/>
        </w:rPr>
      </w:pPr>
      <w:r w:rsidRPr="00A376CB">
        <w:rPr>
          <w:b/>
          <w:sz w:val="22"/>
          <w:szCs w:val="22"/>
        </w:rPr>
        <w:t>Lot N°</w:t>
      </w:r>
      <w:r>
        <w:rPr>
          <w:b/>
          <w:sz w:val="22"/>
          <w:szCs w:val="22"/>
        </w:rPr>
        <w:t>4</w:t>
      </w:r>
      <w:r w:rsidRPr="00A376CB">
        <w:rPr>
          <w:sz w:val="22"/>
          <w:szCs w:val="22"/>
        </w:rPr>
        <w:t> : Fourniture et pose de matériels de rése</w:t>
      </w:r>
      <w:bookmarkStart w:id="0" w:name="_GoBack"/>
      <w:bookmarkEnd w:id="0"/>
      <w:r w:rsidRPr="00A376CB">
        <w:rPr>
          <w:sz w:val="22"/>
          <w:szCs w:val="22"/>
        </w:rPr>
        <w:t xml:space="preserve">aux électriques MT et BT dans la Région </w:t>
      </w:r>
      <w:r>
        <w:rPr>
          <w:sz w:val="22"/>
          <w:szCs w:val="22"/>
        </w:rPr>
        <w:t>des Savanes.</w:t>
      </w:r>
    </w:p>
    <w:p w:rsidR="009C3D5A" w:rsidRDefault="009C3D5A" w:rsidP="009C3D5A">
      <w:pPr>
        <w:spacing w:line="276" w:lineRule="auto"/>
        <w:jc w:val="both"/>
        <w:rPr>
          <w:b/>
          <w:sz w:val="22"/>
          <w:szCs w:val="22"/>
          <w:highlight w:val="yellow"/>
        </w:rPr>
      </w:pPr>
    </w:p>
    <w:p w:rsidR="009C3D5A" w:rsidRPr="00E42BB4" w:rsidRDefault="009C3D5A" w:rsidP="009C3D5A">
      <w:pPr>
        <w:spacing w:line="276" w:lineRule="auto"/>
        <w:jc w:val="both"/>
        <w:rPr>
          <w:sz w:val="12"/>
          <w:szCs w:val="22"/>
        </w:rPr>
      </w:pPr>
      <w:r w:rsidRPr="00387D7F">
        <w:rPr>
          <w:b/>
          <w:sz w:val="22"/>
          <w:szCs w:val="22"/>
        </w:rPr>
        <w:t>Aucun soumissionnaire ne peut être attributaire de plus de deux (02) lots.</w:t>
      </w:r>
    </w:p>
    <w:p w:rsidR="009C3D5A" w:rsidRPr="00387D7F" w:rsidRDefault="009C3D5A" w:rsidP="009C3D5A">
      <w:pPr>
        <w:spacing w:line="276" w:lineRule="auto"/>
        <w:rPr>
          <w:sz w:val="22"/>
          <w:szCs w:val="22"/>
        </w:rPr>
      </w:pPr>
      <w:r w:rsidRPr="00387D7F">
        <w:rPr>
          <w:sz w:val="22"/>
          <w:szCs w:val="22"/>
        </w:rPr>
        <w:t>Le délai d’exécution des travaux est de 4 mois.</w:t>
      </w:r>
    </w:p>
    <w:p w:rsidR="009C3D5A" w:rsidRPr="00387D7F" w:rsidRDefault="009C3D5A" w:rsidP="009C3D5A">
      <w:pPr>
        <w:spacing w:line="276" w:lineRule="auto"/>
        <w:rPr>
          <w:sz w:val="22"/>
          <w:szCs w:val="22"/>
        </w:rPr>
      </w:pPr>
      <w:r w:rsidRPr="00387D7F">
        <w:rPr>
          <w:sz w:val="22"/>
          <w:szCs w:val="22"/>
        </w:rPr>
        <w:t xml:space="preserve">Les variantes supérieures aux exigences du dossier d’appel d’offres sont autorisées. </w:t>
      </w:r>
    </w:p>
    <w:p w:rsidR="009C3D5A" w:rsidRDefault="009C3D5A" w:rsidP="009C3D5A">
      <w:pPr>
        <w:spacing w:line="276" w:lineRule="auto"/>
        <w:rPr>
          <w:sz w:val="22"/>
          <w:szCs w:val="22"/>
        </w:rPr>
      </w:pPr>
    </w:p>
    <w:p w:rsidR="009C3D5A" w:rsidRPr="0030734F" w:rsidRDefault="009C3D5A" w:rsidP="009C3D5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387D7F">
        <w:rPr>
          <w:sz w:val="22"/>
          <w:szCs w:val="22"/>
        </w:rPr>
        <w:t>La passation du Marché sera conduite par Appel d’offres tel que défini dans le Code des Marchés publics en vigueur et ses textes d’application, et ouvert à tous les candidats éligibles.</w:t>
      </w:r>
    </w:p>
    <w:p w:rsidR="009C3D5A" w:rsidRPr="00F23D97" w:rsidRDefault="009C3D5A" w:rsidP="009C3D5A">
      <w:pPr>
        <w:spacing w:line="276" w:lineRule="auto"/>
        <w:rPr>
          <w:sz w:val="22"/>
          <w:szCs w:val="22"/>
        </w:rPr>
      </w:pPr>
    </w:p>
    <w:p w:rsidR="009C3D5A" w:rsidRDefault="009C3D5A" w:rsidP="009C3D5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435F1F">
        <w:rPr>
          <w:sz w:val="22"/>
          <w:szCs w:val="22"/>
        </w:rPr>
        <w:t xml:space="preserve">Les candidats intéressés peuvent obtenir des informations </w:t>
      </w:r>
      <w:r>
        <w:rPr>
          <w:sz w:val="22"/>
          <w:szCs w:val="22"/>
        </w:rPr>
        <w:t>et prendre connaissance du dossier d’appel d’offres à l’adresse ci-après de 0</w:t>
      </w:r>
      <w:r w:rsidRPr="009E3B2F">
        <w:rPr>
          <w:sz w:val="22"/>
          <w:szCs w:val="22"/>
        </w:rPr>
        <w:t>8 heures 30 TU à 11 heures 30 TU et de 15 heures à 17 heures TU</w:t>
      </w:r>
      <w:r w:rsidRPr="00435F1F" w:rsidDel="0030734F">
        <w:rPr>
          <w:sz w:val="22"/>
          <w:szCs w:val="22"/>
        </w:rPr>
        <w:t xml:space="preserve"> </w:t>
      </w:r>
      <w:r w:rsidRPr="00435F1F">
        <w:rPr>
          <w:sz w:val="22"/>
          <w:szCs w:val="22"/>
        </w:rPr>
        <w:t>:</w:t>
      </w:r>
    </w:p>
    <w:p w:rsidR="009C3D5A" w:rsidRDefault="009C3D5A" w:rsidP="009C3D5A">
      <w:pPr>
        <w:spacing w:line="276" w:lineRule="auto"/>
        <w:ind w:left="708"/>
        <w:rPr>
          <w:b/>
          <w:sz w:val="22"/>
          <w:szCs w:val="22"/>
        </w:rPr>
      </w:pPr>
    </w:p>
    <w:p w:rsidR="009C3D5A" w:rsidRPr="00E92BD6" w:rsidRDefault="009C3D5A" w:rsidP="009C3D5A">
      <w:pPr>
        <w:spacing w:line="276" w:lineRule="auto"/>
        <w:ind w:left="708"/>
        <w:rPr>
          <w:b/>
          <w:sz w:val="22"/>
          <w:szCs w:val="22"/>
        </w:rPr>
      </w:pPr>
      <w:r w:rsidRPr="00923889">
        <w:rPr>
          <w:b/>
          <w:sz w:val="22"/>
          <w:szCs w:val="22"/>
        </w:rPr>
        <w:t>MINISTERE DELEGUE CHARGE DES ENERGIES ET DES MINES</w:t>
      </w:r>
      <w:r w:rsidRPr="00E92BD6" w:rsidDel="0030734F">
        <w:rPr>
          <w:b/>
          <w:sz w:val="22"/>
          <w:szCs w:val="22"/>
        </w:rPr>
        <w:t xml:space="preserve"> </w:t>
      </w:r>
    </w:p>
    <w:p w:rsidR="009C3D5A" w:rsidRDefault="009C3D5A" w:rsidP="009C3D5A">
      <w:pPr>
        <w:spacing w:line="276" w:lineRule="auto"/>
        <w:ind w:left="708"/>
        <w:rPr>
          <w:b/>
          <w:sz w:val="22"/>
          <w:szCs w:val="22"/>
        </w:rPr>
      </w:pPr>
      <w:r w:rsidRPr="00E92BD6">
        <w:rPr>
          <w:b/>
          <w:sz w:val="22"/>
          <w:szCs w:val="22"/>
        </w:rPr>
        <w:t xml:space="preserve">SECRETARIAT </w:t>
      </w:r>
      <w:r>
        <w:rPr>
          <w:b/>
          <w:sz w:val="22"/>
          <w:szCs w:val="22"/>
        </w:rPr>
        <w:t>DE LA PERSONNE RESPONSABLE DES MARCHES PUBLICS</w:t>
      </w:r>
    </w:p>
    <w:p w:rsidR="009C3D5A" w:rsidRPr="009E3B2F" w:rsidRDefault="009C3D5A" w:rsidP="009C3D5A">
      <w:pPr>
        <w:spacing w:line="276" w:lineRule="auto"/>
        <w:ind w:firstLine="720"/>
        <w:rPr>
          <w:sz w:val="22"/>
          <w:szCs w:val="22"/>
        </w:rPr>
      </w:pPr>
      <w:r w:rsidRPr="009E3B2F">
        <w:rPr>
          <w:sz w:val="22"/>
          <w:szCs w:val="22"/>
        </w:rPr>
        <w:t>PORTE 109 OU 105</w:t>
      </w:r>
    </w:p>
    <w:p w:rsidR="009C3D5A" w:rsidRPr="009E3B2F" w:rsidRDefault="009C3D5A" w:rsidP="009C3D5A">
      <w:pPr>
        <w:spacing w:line="276" w:lineRule="auto"/>
        <w:ind w:firstLine="720"/>
        <w:rPr>
          <w:sz w:val="22"/>
          <w:szCs w:val="22"/>
        </w:rPr>
      </w:pPr>
      <w:r w:rsidRPr="009E3B2F">
        <w:rPr>
          <w:sz w:val="22"/>
          <w:szCs w:val="22"/>
        </w:rPr>
        <w:t xml:space="preserve">Rue des Hydrocarbures, Face </w:t>
      </w:r>
      <w:r>
        <w:rPr>
          <w:sz w:val="22"/>
          <w:szCs w:val="22"/>
        </w:rPr>
        <w:t xml:space="preserve">ancien </w:t>
      </w:r>
      <w:r w:rsidRPr="009E3B2F">
        <w:rPr>
          <w:sz w:val="22"/>
          <w:szCs w:val="22"/>
        </w:rPr>
        <w:t>Air Liquide ; BP. : 4227 Lomé-TOGO</w:t>
      </w:r>
    </w:p>
    <w:p w:rsidR="009C3D5A" w:rsidRDefault="009C3D5A" w:rsidP="009C3D5A">
      <w:pPr>
        <w:spacing w:line="276" w:lineRule="auto"/>
        <w:ind w:left="708"/>
        <w:rPr>
          <w:sz w:val="22"/>
          <w:szCs w:val="22"/>
        </w:rPr>
      </w:pPr>
      <w:r w:rsidRPr="009E3B2F">
        <w:rPr>
          <w:sz w:val="22"/>
          <w:szCs w:val="22"/>
        </w:rPr>
        <w:t xml:space="preserve">Tél : 00228 </w:t>
      </w:r>
      <w:r>
        <w:rPr>
          <w:sz w:val="22"/>
          <w:szCs w:val="22"/>
        </w:rPr>
        <w:t>70</w:t>
      </w:r>
      <w:r w:rsidRPr="009E3B2F">
        <w:rPr>
          <w:sz w:val="22"/>
          <w:szCs w:val="22"/>
        </w:rPr>
        <w:t xml:space="preserve"> 43 58 81</w:t>
      </w:r>
      <w:r>
        <w:rPr>
          <w:b/>
          <w:sz w:val="22"/>
          <w:szCs w:val="22"/>
        </w:rPr>
        <w:t xml:space="preserve"> / </w:t>
      </w:r>
      <w:r w:rsidRPr="002C5509">
        <w:rPr>
          <w:b/>
          <w:color w:val="1155CC"/>
          <w:sz w:val="22"/>
          <w:szCs w:val="22"/>
        </w:rPr>
        <w:t>prmp.mme@minenergie.gouv.tg</w:t>
      </w:r>
      <w:r w:rsidRPr="002C5509" w:rsidDel="002C5509">
        <w:rPr>
          <w:b/>
          <w:color w:val="1155CC"/>
          <w:sz w:val="22"/>
          <w:szCs w:val="22"/>
        </w:rPr>
        <w:t xml:space="preserve"> </w:t>
      </w:r>
    </w:p>
    <w:p w:rsidR="009C3D5A" w:rsidRPr="00387D7F" w:rsidRDefault="009C3D5A" w:rsidP="009C3D5A">
      <w:pPr>
        <w:spacing w:line="276" w:lineRule="auto"/>
        <w:ind w:firstLine="720"/>
        <w:rPr>
          <w:sz w:val="22"/>
          <w:szCs w:val="22"/>
          <w:highlight w:val="yellow"/>
        </w:rPr>
      </w:pPr>
    </w:p>
    <w:p w:rsidR="009C3D5A" w:rsidRPr="00387D7F" w:rsidRDefault="009C3D5A" w:rsidP="009C3D5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387D7F">
        <w:rPr>
          <w:sz w:val="22"/>
          <w:szCs w:val="22"/>
        </w:rPr>
        <w:t>Les exigences en matière de qualifications sont :</w:t>
      </w:r>
    </w:p>
    <w:p w:rsidR="009C3D5A" w:rsidRPr="00387D7F" w:rsidRDefault="009C3D5A" w:rsidP="009C3D5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387D7F">
        <w:rPr>
          <w:sz w:val="22"/>
          <w:szCs w:val="22"/>
        </w:rPr>
        <w:t xml:space="preserve">Les conditions légales de l’entreprise ; </w:t>
      </w:r>
    </w:p>
    <w:p w:rsidR="009C3D5A" w:rsidRPr="00387D7F" w:rsidRDefault="009C3D5A" w:rsidP="009C3D5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387D7F">
        <w:rPr>
          <w:sz w:val="22"/>
          <w:szCs w:val="22"/>
        </w:rPr>
        <w:t>Les conditions financières de l’entreprise ;</w:t>
      </w:r>
    </w:p>
    <w:p w:rsidR="009C3D5A" w:rsidRPr="00387D7F" w:rsidRDefault="009C3D5A" w:rsidP="009C3D5A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387D7F">
        <w:rPr>
          <w:sz w:val="22"/>
          <w:szCs w:val="22"/>
        </w:rPr>
        <w:t>Les conditions techniques</w:t>
      </w:r>
      <w:r w:rsidRPr="00C86094">
        <w:rPr>
          <w:sz w:val="22"/>
          <w:szCs w:val="22"/>
        </w:rPr>
        <w:t>.</w:t>
      </w:r>
    </w:p>
    <w:p w:rsidR="009C3D5A" w:rsidRDefault="009C3D5A" w:rsidP="009C3D5A">
      <w:pPr>
        <w:suppressAutoHyphens/>
        <w:overflowPunct w:val="0"/>
        <w:autoSpaceDE w:val="0"/>
        <w:autoSpaceDN w:val="0"/>
        <w:adjustRightInd w:val="0"/>
        <w:spacing w:before="200" w:after="200"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Voir les DPAO pour les informations détaillées.</w:t>
      </w:r>
    </w:p>
    <w:p w:rsidR="009C3D5A" w:rsidRDefault="009C3D5A" w:rsidP="009C3D5A">
      <w:pPr>
        <w:spacing w:before="200" w:after="200" w:line="276" w:lineRule="auto"/>
        <w:rPr>
          <w:b/>
          <w:sz w:val="22"/>
          <w:szCs w:val="22"/>
        </w:rPr>
      </w:pPr>
      <w:r w:rsidRPr="00387D7F">
        <w:rPr>
          <w:b/>
          <w:sz w:val="22"/>
          <w:szCs w:val="22"/>
        </w:rPr>
        <w:lastRenderedPageBreak/>
        <w:t xml:space="preserve">Les entreprises </w:t>
      </w:r>
      <w:r>
        <w:rPr>
          <w:b/>
          <w:sz w:val="22"/>
          <w:szCs w:val="22"/>
        </w:rPr>
        <w:t xml:space="preserve">ayant </w:t>
      </w:r>
      <w:r w:rsidRPr="00387D7F">
        <w:rPr>
          <w:b/>
          <w:sz w:val="22"/>
          <w:szCs w:val="22"/>
        </w:rPr>
        <w:t xml:space="preserve">des marchés en cours avec le </w:t>
      </w:r>
      <w:r>
        <w:rPr>
          <w:b/>
          <w:sz w:val="22"/>
          <w:szCs w:val="22"/>
        </w:rPr>
        <w:t>Ministère Délégué</w:t>
      </w:r>
      <w:r w:rsidRPr="000F31E9">
        <w:rPr>
          <w:b/>
          <w:sz w:val="22"/>
          <w:szCs w:val="22"/>
        </w:rPr>
        <w:t xml:space="preserve"> chargé de l’Energie et des Mines</w:t>
      </w:r>
      <w:r w:rsidRPr="00387D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et dont le niveau </w:t>
      </w:r>
      <w:r w:rsidRPr="00C0167F">
        <w:rPr>
          <w:b/>
          <w:sz w:val="22"/>
          <w:szCs w:val="22"/>
        </w:rPr>
        <w:t>d’exécution des travaux</w:t>
      </w:r>
      <w:r>
        <w:rPr>
          <w:b/>
          <w:sz w:val="22"/>
          <w:szCs w:val="22"/>
        </w:rPr>
        <w:t xml:space="preserve"> est inférieur à 75% ne sont pas autorisées à participer </w:t>
      </w:r>
      <w:r w:rsidRPr="00387D7F">
        <w:rPr>
          <w:b/>
          <w:sz w:val="22"/>
          <w:szCs w:val="22"/>
        </w:rPr>
        <w:t xml:space="preserve">au présent appel </w:t>
      </w:r>
      <w:r>
        <w:rPr>
          <w:b/>
          <w:sz w:val="22"/>
          <w:szCs w:val="22"/>
        </w:rPr>
        <w:t>d’offres international</w:t>
      </w:r>
      <w:r w:rsidRPr="00387D7F">
        <w:rPr>
          <w:b/>
          <w:sz w:val="22"/>
          <w:szCs w:val="22"/>
        </w:rPr>
        <w:t>.</w:t>
      </w:r>
    </w:p>
    <w:p w:rsidR="009C3D5A" w:rsidRPr="00E4636C" w:rsidRDefault="009C3D5A" w:rsidP="009C3D5A">
      <w:pPr>
        <w:spacing w:before="200" w:after="200" w:line="276" w:lineRule="auto"/>
        <w:rPr>
          <w:b/>
          <w:sz w:val="22"/>
          <w:szCs w:val="22"/>
        </w:rPr>
      </w:pPr>
      <w:r w:rsidRPr="00BF5C01">
        <w:rPr>
          <w:b/>
          <w:sz w:val="22"/>
          <w:szCs w:val="22"/>
        </w:rPr>
        <w:t>Les soumissionnaires sont informés que leurs offres financières doivent être élaborées dans</w:t>
      </w:r>
      <w:r>
        <w:rPr>
          <w:b/>
          <w:sz w:val="22"/>
          <w:szCs w:val="22"/>
        </w:rPr>
        <w:t xml:space="preserve"> </w:t>
      </w:r>
      <w:r w:rsidRPr="00BF5C01">
        <w:rPr>
          <w:b/>
          <w:sz w:val="22"/>
          <w:szCs w:val="22"/>
        </w:rPr>
        <w:t>le respect des prix contenus dans la dernière version du répertoire des prix de référence</w:t>
      </w:r>
      <w:r>
        <w:rPr>
          <w:b/>
          <w:sz w:val="22"/>
          <w:szCs w:val="22"/>
        </w:rPr>
        <w:t xml:space="preserve"> </w:t>
      </w:r>
      <w:r w:rsidRPr="00BF5C01">
        <w:rPr>
          <w:b/>
          <w:sz w:val="22"/>
          <w:szCs w:val="22"/>
        </w:rPr>
        <w:t>(mercuriale</w:t>
      </w:r>
      <w:r>
        <w:rPr>
          <w:b/>
          <w:sz w:val="22"/>
          <w:szCs w:val="22"/>
        </w:rPr>
        <w:t xml:space="preserve"> </w:t>
      </w:r>
      <w:r w:rsidRPr="00BF5C01">
        <w:rPr>
          <w:b/>
          <w:sz w:val="22"/>
          <w:szCs w:val="22"/>
        </w:rPr>
        <w:t>des prix) disponible sur le site du ministère de l’Economie et des finances au</w:t>
      </w:r>
      <w:r>
        <w:rPr>
          <w:b/>
          <w:sz w:val="22"/>
          <w:szCs w:val="22"/>
        </w:rPr>
        <w:t xml:space="preserve"> </w:t>
      </w:r>
      <w:r w:rsidRPr="00BF5C01">
        <w:rPr>
          <w:b/>
          <w:sz w:val="22"/>
          <w:szCs w:val="22"/>
        </w:rPr>
        <w:t>https://finances.gouv.tg. Dans le cas contraire, leurs offres financières seront redressées.</w:t>
      </w:r>
    </w:p>
    <w:p w:rsidR="009C3D5A" w:rsidRDefault="009C3D5A" w:rsidP="009C3D5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6F1504">
        <w:rPr>
          <w:sz w:val="22"/>
          <w:szCs w:val="22"/>
        </w:rPr>
        <w:t xml:space="preserve">Les candidats intéressés peuvent consulter gratuitement le dossier d’Appel d’offres complet ou le retirer à titre onéreux contre paiement d’une somme non remboursable de </w:t>
      </w:r>
      <w:r w:rsidRPr="00387D7F">
        <w:rPr>
          <w:sz w:val="22"/>
          <w:szCs w:val="22"/>
        </w:rPr>
        <w:t xml:space="preserve">cent mille (100.000) F CFA au </w:t>
      </w:r>
      <w:r w:rsidRPr="006F1504">
        <w:rPr>
          <w:sz w:val="22"/>
          <w:szCs w:val="22"/>
        </w:rPr>
        <w:t xml:space="preserve">secrétariat de la personne responsable des marchés publics à l’adresse indiquée au point 4. </w:t>
      </w:r>
      <w:r>
        <w:rPr>
          <w:sz w:val="22"/>
          <w:szCs w:val="22"/>
        </w:rPr>
        <w:t xml:space="preserve">Le </w:t>
      </w:r>
      <w:r w:rsidRPr="000A50A1">
        <w:rPr>
          <w:sz w:val="22"/>
          <w:szCs w:val="22"/>
        </w:rPr>
        <w:t xml:space="preserve">paiement sera fait en espèces contre reçu </w:t>
      </w:r>
      <w:r>
        <w:rPr>
          <w:sz w:val="22"/>
          <w:szCs w:val="22"/>
        </w:rPr>
        <w:t xml:space="preserve">et le dossier remis main à main. </w:t>
      </w:r>
    </w:p>
    <w:p w:rsidR="009C3D5A" w:rsidRDefault="009C3D5A" w:rsidP="009C3D5A">
      <w:pPr>
        <w:spacing w:line="276" w:lineRule="auto"/>
        <w:ind w:left="284"/>
        <w:jc w:val="both"/>
        <w:rPr>
          <w:sz w:val="22"/>
          <w:szCs w:val="22"/>
        </w:rPr>
      </w:pPr>
    </w:p>
    <w:p w:rsidR="009C3D5A" w:rsidRPr="00E42BB4" w:rsidRDefault="009C3D5A" w:rsidP="009C3D5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E42BB4">
        <w:rPr>
          <w:sz w:val="22"/>
          <w:szCs w:val="22"/>
        </w:rPr>
        <w:t xml:space="preserve">Les offres doivent comprendre </w:t>
      </w:r>
      <w:r w:rsidRPr="00E42BB4">
        <w:rPr>
          <w:iCs/>
          <w:sz w:val="22"/>
          <w:szCs w:val="22"/>
        </w:rPr>
        <w:t xml:space="preserve">une garantie </w:t>
      </w:r>
      <w:r>
        <w:rPr>
          <w:iCs/>
          <w:sz w:val="22"/>
          <w:szCs w:val="22"/>
        </w:rPr>
        <w:t xml:space="preserve">bancaire </w:t>
      </w:r>
      <w:r w:rsidRPr="00E42BB4">
        <w:rPr>
          <w:iCs/>
          <w:sz w:val="22"/>
          <w:szCs w:val="22"/>
        </w:rPr>
        <w:t>de soumission</w:t>
      </w:r>
      <w:r w:rsidRPr="00E42BB4">
        <w:rPr>
          <w:sz w:val="22"/>
          <w:szCs w:val="22"/>
        </w:rPr>
        <w:t>, d’un montant de</w:t>
      </w:r>
      <w:r>
        <w:rPr>
          <w:sz w:val="22"/>
          <w:szCs w:val="22"/>
        </w:rPr>
        <w:t xml:space="preserve"> deux millions (2 000 000) de francs CFA pour chaque lot.</w:t>
      </w:r>
    </w:p>
    <w:p w:rsidR="009C3D5A" w:rsidRPr="006F1504" w:rsidRDefault="009C3D5A" w:rsidP="009C3D5A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</w:p>
    <w:p w:rsidR="009C3D5A" w:rsidRPr="00E42BB4" w:rsidRDefault="009C3D5A" w:rsidP="009C3D5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E42BB4">
        <w:rPr>
          <w:sz w:val="22"/>
          <w:szCs w:val="22"/>
        </w:rPr>
        <w:t xml:space="preserve">Les candidats resteront engagés par leurs offres pendant une période de </w:t>
      </w:r>
      <w:r w:rsidRPr="00387D7F">
        <w:rPr>
          <w:b/>
          <w:i/>
          <w:iCs/>
          <w:sz w:val="22"/>
          <w:szCs w:val="22"/>
        </w:rPr>
        <w:t>cent vingt (120) jours</w:t>
      </w:r>
      <w:r w:rsidRPr="00E42BB4">
        <w:rPr>
          <w:b/>
          <w:i/>
          <w:iCs/>
          <w:sz w:val="22"/>
          <w:szCs w:val="22"/>
        </w:rPr>
        <w:t xml:space="preserve"> </w:t>
      </w:r>
      <w:r w:rsidRPr="00E42BB4">
        <w:rPr>
          <w:i/>
          <w:iCs/>
          <w:sz w:val="22"/>
          <w:szCs w:val="22"/>
        </w:rPr>
        <w:t xml:space="preserve">à </w:t>
      </w:r>
      <w:r w:rsidRPr="00E42BB4">
        <w:rPr>
          <w:sz w:val="22"/>
          <w:szCs w:val="22"/>
        </w:rPr>
        <w:t>compter de la date limite du dépôt des offres.</w:t>
      </w:r>
    </w:p>
    <w:p w:rsidR="009C3D5A" w:rsidRPr="00E42BB4" w:rsidRDefault="009C3D5A" w:rsidP="009C3D5A">
      <w:pPr>
        <w:rPr>
          <w:sz w:val="22"/>
          <w:szCs w:val="22"/>
        </w:rPr>
      </w:pPr>
    </w:p>
    <w:p w:rsidR="009C3D5A" w:rsidRDefault="009C3D5A" w:rsidP="009C3D5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0A50A1">
        <w:rPr>
          <w:sz w:val="22"/>
          <w:szCs w:val="22"/>
        </w:rPr>
        <w:t>Les offres devront être soumises au secrétariat de la personne responsable de</w:t>
      </w:r>
      <w:r>
        <w:rPr>
          <w:sz w:val="22"/>
          <w:szCs w:val="22"/>
        </w:rPr>
        <w:t>s marché</w:t>
      </w:r>
      <w:r w:rsidRPr="000A50A1">
        <w:rPr>
          <w:sz w:val="22"/>
          <w:szCs w:val="22"/>
        </w:rPr>
        <w:t xml:space="preserve">s publiques à l’adresse indiquée au point </w:t>
      </w:r>
      <w:r>
        <w:rPr>
          <w:sz w:val="22"/>
          <w:szCs w:val="22"/>
        </w:rPr>
        <w:t>4</w:t>
      </w:r>
      <w:r w:rsidRPr="000A50A1">
        <w:rPr>
          <w:sz w:val="22"/>
          <w:szCs w:val="22"/>
        </w:rPr>
        <w:t xml:space="preserve">, </w:t>
      </w:r>
      <w:r w:rsidRPr="00E45AE2">
        <w:rPr>
          <w:sz w:val="22"/>
          <w:szCs w:val="22"/>
        </w:rPr>
        <w:t>au plus tard le</w:t>
      </w:r>
      <w:r>
        <w:rPr>
          <w:sz w:val="22"/>
          <w:szCs w:val="22"/>
        </w:rPr>
        <w:t xml:space="preserve"> </w:t>
      </w:r>
      <w:r w:rsidRPr="009C3D5A">
        <w:rPr>
          <w:b/>
          <w:sz w:val="22"/>
          <w:szCs w:val="22"/>
        </w:rPr>
        <w:t>22</w:t>
      </w:r>
      <w:r w:rsidRPr="009C3D5A">
        <w:rPr>
          <w:b/>
          <w:sz w:val="22"/>
          <w:szCs w:val="22"/>
        </w:rPr>
        <w:t xml:space="preserve"> mars 2021 à 10 heures 00 TU</w:t>
      </w:r>
      <w:r w:rsidRPr="00E45AE2">
        <w:rPr>
          <w:sz w:val="22"/>
          <w:szCs w:val="22"/>
        </w:rPr>
        <w:t>.</w:t>
      </w:r>
      <w:r w:rsidRPr="000A50A1">
        <w:rPr>
          <w:sz w:val="22"/>
          <w:szCs w:val="22"/>
        </w:rPr>
        <w:t xml:space="preserve">  Les offres remises en retard ne seront pas acceptées</w:t>
      </w:r>
      <w:r w:rsidRPr="00AF767E">
        <w:rPr>
          <w:sz w:val="22"/>
          <w:szCs w:val="22"/>
        </w:rPr>
        <w:t xml:space="preserve">. </w:t>
      </w:r>
    </w:p>
    <w:p w:rsidR="009C3D5A" w:rsidRDefault="009C3D5A" w:rsidP="009C3D5A">
      <w:pPr>
        <w:spacing w:line="276" w:lineRule="auto"/>
        <w:ind w:left="284"/>
        <w:jc w:val="both"/>
        <w:rPr>
          <w:sz w:val="22"/>
          <w:szCs w:val="22"/>
        </w:rPr>
      </w:pPr>
    </w:p>
    <w:p w:rsidR="009C3D5A" w:rsidRPr="00E42BB4" w:rsidRDefault="009C3D5A" w:rsidP="009C3D5A">
      <w:pPr>
        <w:numPr>
          <w:ilvl w:val="0"/>
          <w:numId w:val="1"/>
        </w:numPr>
        <w:tabs>
          <w:tab w:val="num" w:pos="284"/>
        </w:tabs>
        <w:spacing w:line="276" w:lineRule="auto"/>
        <w:ind w:left="284" w:hanging="426"/>
        <w:jc w:val="both"/>
        <w:rPr>
          <w:sz w:val="22"/>
          <w:szCs w:val="22"/>
        </w:rPr>
      </w:pPr>
      <w:r w:rsidRPr="00E42BB4">
        <w:rPr>
          <w:sz w:val="22"/>
          <w:szCs w:val="22"/>
        </w:rPr>
        <w:t xml:space="preserve">Les offres seront ouvertes en présence des représentants des soumissionnaires qui souhaitent assister à l’ouverture des plis </w:t>
      </w:r>
      <w:r w:rsidRPr="00387D7F">
        <w:rPr>
          <w:sz w:val="22"/>
          <w:szCs w:val="22"/>
        </w:rPr>
        <w:t>le même jour à 10 heures 30 mn TU à la salle de réunion de l’autorité contractante à l’adresse indiquée au point 4</w:t>
      </w:r>
      <w:r>
        <w:rPr>
          <w:sz w:val="22"/>
          <w:szCs w:val="22"/>
        </w:rPr>
        <w:t>.</w:t>
      </w:r>
    </w:p>
    <w:p w:rsidR="009C3D5A" w:rsidRDefault="009C3D5A" w:rsidP="009C3D5A">
      <w:pPr>
        <w:pStyle w:val="UG-Heading2"/>
        <w:spacing w:after="0" w:line="360" w:lineRule="auto"/>
        <w:jc w:val="both"/>
        <w:outlineLvl w:val="9"/>
        <w:rPr>
          <w:rFonts w:ascii="Times New Roman" w:hAnsi="Times New Roman" w:cs="Times New Roman"/>
          <w:sz w:val="22"/>
          <w:szCs w:val="22"/>
        </w:rPr>
      </w:pPr>
    </w:p>
    <w:p w:rsidR="009C3D5A" w:rsidRPr="00E42BB4" w:rsidRDefault="009C3D5A" w:rsidP="009C3D5A">
      <w:pPr>
        <w:pStyle w:val="UG-Heading2"/>
        <w:spacing w:after="0" w:line="360" w:lineRule="auto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D75752">
        <w:rPr>
          <w:rFonts w:ascii="Times New Roman" w:hAnsi="Times New Roman" w:cs="Times New Roman"/>
          <w:sz w:val="22"/>
          <w:szCs w:val="22"/>
        </w:rPr>
        <w:t xml:space="preserve">Lomé, </w:t>
      </w:r>
      <w:r w:rsidRPr="009C3D5A">
        <w:rPr>
          <w:rFonts w:ascii="Times New Roman" w:hAnsi="Times New Roman" w:cs="Times New Roman"/>
          <w:sz w:val="22"/>
          <w:szCs w:val="22"/>
        </w:rPr>
        <w:t>29</w:t>
      </w:r>
      <w:r w:rsidRPr="009C3D5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janvier 2021</w:t>
      </w:r>
    </w:p>
    <w:p w:rsidR="009C3D5A" w:rsidRPr="00B200C9" w:rsidRDefault="009C3D5A" w:rsidP="009C3D5A">
      <w:pPr>
        <w:pStyle w:val="UG-Heading2"/>
        <w:spacing w:after="0" w:line="360" w:lineRule="auto"/>
        <w:jc w:val="both"/>
        <w:outlineLvl w:val="9"/>
        <w:rPr>
          <w:rFonts w:ascii="Times New Roman" w:hAnsi="Times New Roman" w:cs="Times New Roman"/>
          <w:b w:val="0"/>
          <w:sz w:val="22"/>
          <w:szCs w:val="22"/>
        </w:rPr>
      </w:pP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B200C9">
        <w:rPr>
          <w:rFonts w:ascii="Times New Roman" w:hAnsi="Times New Roman" w:cs="Times New Roman"/>
          <w:b w:val="0"/>
          <w:sz w:val="22"/>
          <w:szCs w:val="22"/>
        </w:rPr>
        <w:t>La Personne Responsable des Marchés Publics</w:t>
      </w:r>
    </w:p>
    <w:p w:rsidR="009C3D5A" w:rsidRPr="00B200C9" w:rsidRDefault="009C3D5A" w:rsidP="009C3D5A">
      <w:pPr>
        <w:pStyle w:val="UG-Heading2"/>
        <w:spacing w:after="0" w:line="360" w:lineRule="auto"/>
        <w:jc w:val="both"/>
        <w:outlineLvl w:val="9"/>
        <w:rPr>
          <w:rFonts w:ascii="Times New Roman" w:hAnsi="Times New Roman" w:cs="Times New Roman"/>
          <w:b w:val="0"/>
          <w:sz w:val="22"/>
          <w:szCs w:val="22"/>
        </w:rPr>
      </w:pPr>
    </w:p>
    <w:p w:rsidR="009C3D5A" w:rsidRPr="00E42BB4" w:rsidRDefault="009C3D5A" w:rsidP="009C3D5A">
      <w:pPr>
        <w:pStyle w:val="UG-Heading2"/>
        <w:spacing w:after="0" w:line="360" w:lineRule="auto"/>
        <w:jc w:val="both"/>
        <w:outlineLvl w:val="9"/>
        <w:rPr>
          <w:rFonts w:ascii="Times New Roman" w:hAnsi="Times New Roman" w:cs="Times New Roman"/>
          <w:sz w:val="22"/>
          <w:szCs w:val="22"/>
        </w:rPr>
      </w:pPr>
    </w:p>
    <w:p w:rsidR="009C3D5A" w:rsidRPr="00A81CCB" w:rsidRDefault="009C3D5A" w:rsidP="009C3D5A">
      <w:pPr>
        <w:pStyle w:val="UG-Heading2"/>
        <w:spacing w:after="0" w:line="360" w:lineRule="auto"/>
        <w:jc w:val="both"/>
        <w:outlineLvl w:val="9"/>
        <w:rPr>
          <w:rFonts w:ascii="Times New Roman" w:hAnsi="Times New Roman" w:cs="Times New Roman"/>
          <w:sz w:val="22"/>
          <w:szCs w:val="22"/>
        </w:rPr>
      </w:pP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r w:rsidRPr="00E42BB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387D7F">
        <w:rPr>
          <w:rFonts w:ascii="Times New Roman" w:hAnsi="Times New Roman" w:cs="Times New Roman"/>
          <w:sz w:val="22"/>
          <w:szCs w:val="22"/>
        </w:rPr>
        <w:t>Banimpo</w:t>
      </w:r>
      <w:proofErr w:type="spellEnd"/>
      <w:r w:rsidRPr="00387D7F">
        <w:rPr>
          <w:rFonts w:ascii="Times New Roman" w:hAnsi="Times New Roman" w:cs="Times New Roman"/>
          <w:sz w:val="22"/>
          <w:szCs w:val="22"/>
        </w:rPr>
        <w:t xml:space="preserve"> GBENGBERTANE</w:t>
      </w:r>
    </w:p>
    <w:p w:rsidR="002C50DF" w:rsidRDefault="009C3D5A"/>
    <w:sectPr w:rsidR="002C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5F1"/>
    <w:multiLevelType w:val="hybridMultilevel"/>
    <w:tmpl w:val="EE9A3DA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D1FA5"/>
    <w:multiLevelType w:val="hybridMultilevel"/>
    <w:tmpl w:val="7F369C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 w15:restartNumberingAfterBreak="0">
    <w:nsid w:val="6E6A14EA"/>
    <w:multiLevelType w:val="hybridMultilevel"/>
    <w:tmpl w:val="DA1C2304"/>
    <w:lvl w:ilvl="0" w:tplc="040C0001">
      <w:start w:val="4"/>
      <w:numFmt w:val="bullet"/>
      <w:lvlText w:val="-"/>
      <w:lvlJc w:val="left"/>
      <w:pPr>
        <w:ind w:left="783" w:hanging="360"/>
      </w:pPr>
      <w:rPr>
        <w:rFonts w:ascii="Garamond" w:eastAsia="Calibri" w:hAnsi="Garamond" w:cs="Times New Roman" w:hint="default"/>
      </w:rPr>
    </w:lvl>
    <w:lvl w:ilvl="1" w:tplc="040C0003">
      <w:start w:val="1"/>
      <w:numFmt w:val="decimal"/>
      <w:lvlText w:val="%2."/>
      <w:lvlJc w:val="left"/>
      <w:pPr>
        <w:ind w:left="1503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5A"/>
    <w:rsid w:val="00814893"/>
    <w:rsid w:val="009636E6"/>
    <w:rsid w:val="009C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F555"/>
  <w15:chartTrackingRefBased/>
  <w15:docId w15:val="{2F1D0CFE-F7E5-46A1-AFED-E8ED8E20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D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D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D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uiPriority w:val="10"/>
    <w:qFormat/>
    <w:rsid w:val="009C3D5A"/>
    <w:pPr>
      <w:jc w:val="center"/>
    </w:pPr>
    <w:rPr>
      <w:b/>
      <w:sz w:val="48"/>
      <w:lang w:val="es-ES_tradnl"/>
    </w:rPr>
  </w:style>
  <w:style w:type="character" w:customStyle="1" w:styleId="TitleChar">
    <w:name w:val="Title Char"/>
    <w:basedOn w:val="DefaultParagraphFont"/>
    <w:uiPriority w:val="10"/>
    <w:rsid w:val="009C3D5A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leChar1">
    <w:name w:val="Title Char1"/>
    <w:link w:val="Title"/>
    <w:uiPriority w:val="10"/>
    <w:rsid w:val="009C3D5A"/>
    <w:rPr>
      <w:rFonts w:ascii="Times New Roman" w:eastAsia="Times New Roman" w:hAnsi="Times New Roman" w:cs="Times New Roman"/>
      <w:b/>
      <w:sz w:val="48"/>
      <w:szCs w:val="20"/>
      <w:lang w:val="es-ES_tradnl" w:eastAsia="fr-FR"/>
    </w:rPr>
  </w:style>
  <w:style w:type="paragraph" w:customStyle="1" w:styleId="UG-Heading2">
    <w:name w:val="UG - Heading 2"/>
    <w:basedOn w:val="Heading2"/>
    <w:uiPriority w:val="99"/>
    <w:rsid w:val="009C3D5A"/>
    <w:pPr>
      <w:keepNext w:val="0"/>
      <w:keepLines w:val="0"/>
      <w:tabs>
        <w:tab w:val="left" w:pos="619"/>
      </w:tabs>
      <w:spacing w:before="0" w:after="200"/>
      <w:jc w:val="center"/>
    </w:pPr>
    <w:rPr>
      <w:rFonts w:ascii="Times New Roman Bold" w:eastAsia="Times New Roman" w:hAnsi="Times New Roman Bold" w:cs="Arial"/>
      <w:b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D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9C3D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Joske Doref</dc:creator>
  <cp:keywords/>
  <dc:description/>
  <cp:lastModifiedBy>Joske Doref</cp:lastModifiedBy>
  <cp:revision>1</cp:revision>
  <dcterms:created xsi:type="dcterms:W3CDTF">2021-02-03T11:10:00Z</dcterms:created>
  <dcterms:modified xsi:type="dcterms:W3CDTF">2021-02-03T11:15:00Z</dcterms:modified>
</cp:coreProperties>
</file>